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Таблица - Значения частных критериев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Варианты (стратегии)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Производительность. шт./час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Стоимость  оборудования. ден. ед.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Энергоемкость.  у.е.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Надежность. у.е.</w:t>
            </w:r>
          </w:p>
        </w:tc>
      </w:tr>
      <w:tr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Завода I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</w:tr>
      <w:tr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Завода II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</w:tr>
      <w:tr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Завода III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</w:tr>
      <w:tr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Вес критерия, λ</w:t>
            </w:r>
            <w:r>
              <w:rPr>
                <w:sz w:val="24"/>
                <w:szCs w:val="24"/>
              </w:rPr>
              <w:rPr>
                <w:vertAlign w:val="subscript"/>
              </w:rPr>
              <w:t>j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0.4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0.2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0.1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0.3</w:t>
            </w:r>
          </w:p>
        </w:tc>
      </w:tr>
    </w:tbl>
    <w:p>
      <w:pPr>
        <w:pStyle w:val="pStyle"/>
      </w:pPr>
      <w:r>
        <w:t xml:space="preserve">Для решения данной задачи используется аддитивный критерий оптимальности (обобщенная функция цели), который определяется по формуле:</w:t>
      </w:r>
    </w:p>
    <w:p>
      <m:oMathPara>
        <m:oMath>
          <m:r>
            <m:t>F(</m:t>
          </m:r>
          <m:sSub>
            <m:e>
              <m:r>
                <m:t>a</m:t>
              </m:r>
            </m:e>
            <m:sub>
              <m:r>
                <m:t>ij</m:t>
              </m:r>
            </m:sub>
          </m:sSub>
          <m:r>
            <m:t>) = </m:t>
          </m:r>
          <m:nary>
            <m:naryPr>
              <m:chr m:val="∑"/>
              <m:ctrlPr>
                <w:rPr/>
              </m:ctrlPr>
            </m:naryPr>
            <m:sub>
              <m:r>
                <m:t>j=1</m:t>
              </m:r>
            </m:sub>
            <m:sup>
              <m:r>
                <m:t>n</m:t>
              </m:r>
            </m:sup>
            <m:e>
              <m:r>
                <m:t>λ</m:t>
              </m:r>
              <m:sSub>
                <m:e>
                  <m:r>
                    <m:t/>
                  </m:r>
                </m:e>
                <m:sub>
                  <m:r>
                    <m:t>j</m:t>
                  </m:r>
                </m:sub>
              </m:sSub>
              <m:r>
                <m:t>∙</m:t>
              </m:r>
              <m:sSub>
                <m:e>
                  <m:r>
                    <m:t>a</m:t>
                  </m:r>
                </m:e>
                <m:sub>
                  <m:r>
                    <m:t>ij</m:t>
                  </m:r>
                </m:sub>
              </m:sSub>
            </m:e>
          </m:nary>
        </m:oMath>
      </m:oMathPara>
    </w:p>
    <w:p>
      <m:oMathPara>
        <m:oMath>
          <m:nary>
            <m:naryPr>
              <m:chr m:val="∑"/>
              <m:ctrlPr>
                <w:rPr/>
              </m:ctrlPr>
            </m:naryPr>
            <m:sub>
              <m:r>
                <m:t>j=1</m:t>
              </m:r>
            </m:sub>
            <m:sup>
              <m:r>
                <m:t>m</m:t>
              </m:r>
            </m:sup>
            <m:e>
              <m:r>
                <m:t>λ</m:t>
              </m:r>
              <m:sSub>
                <m:e>
                  <m:r>
                    <m:t/>
                  </m:r>
                </m:e>
                <m:sub>
                  <m:r>
                    <m:t>j</m:t>
                  </m:r>
                </m:sub>
              </m:sSub>
            </m:e>
          </m:nary>
          <m:r>
            <m:t> = 1</m:t>
          </m:r>
        </m:oMath>
      </m:oMathPara>
    </w:p>
    <w:p>
      <w:pPr>
        <w:pStyle w:val="pStyle"/>
      </w:pPr>
      <w:r>
        <w:t xml:space="preserve">где a</w:t>
      </w:r>
      <w:r>
        <w:rPr>
          <w:vertAlign w:val="subscript"/>
        </w:rPr>
        <w:t>ij</w:t>
      </w:r>
      <w:r>
        <w:t xml:space="preserve"> – значение частного (локального) критерия; λ</w:t>
      </w:r>
      <w:r>
        <w:rPr>
          <w:vertAlign w:val="subscript"/>
        </w:rPr>
        <w:t>j</w:t>
      </w:r>
      <w:r>
        <w:t xml:space="preserve"> - вес (важность) j–го частного критерия.</w:t>
      </w:r>
    </w:p>
    <w:p>
      <w:pPr>
        <w:pStyle w:val="pStyle"/>
      </w:pPr>
      <w:r>
        <w:t xml:space="preserve">Аддитивный критерий оптимальности используется для свертывания частных (локальных) критериев, если они количественно соизмеримы (имеют одинаковые единицы измерения). Если же частные критерии неоднородны, то проводят процедуру их нормализации.</w:t>
      </w:r>
    </w:p>
    <w:p>
      <w:pPr>
        <w:pStyle w:val="pStyle"/>
      </w:pPr>
      <w:r>
        <w:t xml:space="preserve">Нам необходимо максимизировать критерии: Производительность. шт./час, Надежность. у.е., а минимизировать критерии : Стоимость  оборудования. ден. ед., Энергоемкость.  у.е..</w:t>
      </w:r>
    </w:p>
    <w:p>
      <w:pPr>
        <w:pStyle w:val="pStyle"/>
      </w:pPr>
      <w:r>
        <w:t xml:space="preserve">Проведем процедуру нормализацию критериев.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Варианты (стратегии)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Производительность. шт./час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Стоимость  оборудования. ден. ед.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Энергоемкость.  у.е.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Надежность. у.е.</w:t>
            </w:r>
          </w:p>
        </w:tc>
      </w:tr>
      <w:tr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Завода I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5/5 = 1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1-7/7 = 0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1-5/7 = 0.2857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6/6 = 1</w:t>
            </w:r>
          </w:p>
        </w:tc>
      </w:tr>
      <w:tr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Завода II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3/5 = 0.6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1-4/7 = 0.4286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1-7/7 = 0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3/6 = 0.5</w:t>
            </w:r>
          </w:p>
        </w:tc>
      </w:tr>
      <w:tr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Завода III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4/5 = 0.8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1-6/7 = 0.1429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1-2/7 = 0.7143</w:t>
            </w:r>
          </w:p>
        </w:tc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4/6 = 0.6667</w:t>
            </w:r>
          </w:p>
        </w:tc>
      </w:tr>
    </w:tbl>
    <w:p>
      <w:pPr>
        <w:pStyle w:val="pStyle"/>
      </w:pPr>
      <w:r>
        <w:t xml:space="preserve">Рассчитаем значения аддитивного критерия оптимальности.</w:t>
      </w:r>
    </w:p>
    <w:p>
      <w:pPr>
        <w:pStyle w:val="pStyle"/>
      </w:pPr>
      <w:r>
        <w:t xml:space="preserve">F</w:t>
      </w:r>
      <w:r>
        <w:rPr>
          <w:vertAlign w:val="subscript"/>
        </w:rPr>
        <w:t>1</w:t>
      </w:r>
      <w:r>
        <w:t xml:space="preserve"> = 1*0.4 + 0*0.2 + 0.2857*0.1 + 1*0.3 = 0.72857</w:t>
      </w:r>
    </w:p>
    <w:p>
      <w:pPr>
        <w:pStyle w:val="pStyle"/>
      </w:pPr>
      <w:r>
        <w:t xml:space="preserve">F</w:t>
      </w:r>
      <w:r>
        <w:rPr>
          <w:vertAlign w:val="subscript"/>
        </w:rPr>
        <w:t>2</w:t>
      </w:r>
      <w:r>
        <w:t xml:space="preserve"> = 0.6*0.4 + 0.4286*0.2 + 0*0.1 + 0.5*0.3 = 0.47572</w:t>
      </w:r>
    </w:p>
    <w:p>
      <w:pPr>
        <w:pStyle w:val="pStyle"/>
      </w:pPr>
      <w:r>
        <w:t xml:space="preserve">F</w:t>
      </w:r>
      <w:r>
        <w:rPr>
          <w:vertAlign w:val="subscript"/>
        </w:rPr>
        <w:t>3</w:t>
      </w:r>
      <w:r>
        <w:t xml:space="preserve"> = 0.8*0.4 + 0.1429*0.2 + 0.7143*0.1 + 0.6667*0.3 = 0.62002</w:t>
      </w:r>
    </w:p>
    <w:p>
      <w:pPr>
        <w:pStyle w:val="pStyle"/>
      </w:pPr>
      <w:r>
        <w:t xml:space="preserve">Необходимо выбрать стратегию F</w:t>
      </w:r>
      <w:r>
        <w:rPr>
          <w:vertAlign w:val="subscript"/>
        </w:rPr>
        <w:t>1</w:t>
      </w:r>
      <w:r>
        <w:t xml:space="preserve"> (Завода I), так как она соответствует наибольшему значению аддитивного критерия оптимальности.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character">
    <w:name w:val="tc"/>
    <w:rPr>
      <w:sz w:val="24"/>
      <w:szCs w:val="24"/>
    </w:rPr>
  </w:style>
  <w:style w:type="paragraph" w:customStyle="1" w:styleId="tc_align">
    <w:name w:val="tc_align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2021-06-02T07:29:00+03:00</dcterms:created>
  <dcterms:modified xsi:type="dcterms:W3CDTF">2021-06-02T07:29:00+03:00</dcterms:modified>
  <dc:title>Выбор оптимального решения в условия полной определенности</dc:title>
  <dc:description>https://www.semestr.online/methods/certainty.php</dc:description>
  <dc:subject>Выбор оптимального решения в условия полной определенности</dc:subject>
  <cp:keywords>Выбор оптимального решения в условия полной определенности</cp:keywords>
  <cp:category>Выбор оптимального решения в условия полной определенности</cp:category>
</cp:coreProperties>
</file>